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73C" w:rsidRDefault="0078473C">
      <w:pPr>
        <w:pStyle w:val="ConsPlusNormal"/>
        <w:jc w:val="right"/>
        <w:outlineLvl w:val="0"/>
      </w:pPr>
      <w:r>
        <w:t>Утверждена</w:t>
      </w:r>
    </w:p>
    <w:p w:rsidR="0078473C" w:rsidRDefault="0078473C">
      <w:pPr>
        <w:pStyle w:val="ConsPlusNormal"/>
        <w:jc w:val="right"/>
      </w:pPr>
      <w:r>
        <w:t>постановлением</w:t>
      </w:r>
    </w:p>
    <w:p w:rsidR="0078473C" w:rsidRDefault="0078473C">
      <w:pPr>
        <w:pStyle w:val="ConsPlusNormal"/>
        <w:jc w:val="right"/>
      </w:pPr>
      <w:r>
        <w:t>Правительства Брянской области</w:t>
      </w:r>
    </w:p>
    <w:p w:rsidR="0078473C" w:rsidRDefault="0078473C">
      <w:pPr>
        <w:pStyle w:val="ConsPlusNormal"/>
        <w:jc w:val="right"/>
      </w:pPr>
      <w:r>
        <w:t>от 25 ноября 2019 г. N 549-п</w:t>
      </w:r>
    </w:p>
    <w:p w:rsidR="0078473C" w:rsidRDefault="0078473C">
      <w:pPr>
        <w:pStyle w:val="ConsPlusTitle"/>
        <w:jc w:val="center"/>
      </w:pPr>
      <w:bookmarkStart w:id="0" w:name="P36"/>
      <w:bookmarkEnd w:id="0"/>
      <w:r>
        <w:t>МЕТОДИКА</w:t>
      </w:r>
    </w:p>
    <w:p w:rsidR="0078473C" w:rsidRDefault="0078473C">
      <w:pPr>
        <w:pStyle w:val="ConsPlusTitle"/>
        <w:jc w:val="center"/>
      </w:pPr>
      <w:r>
        <w:t>РАСПРЕДЕЛЕНИЯ ДОТАЦИЙ НА ПОДДЕРЖКУ МЕР ПО ОБЕСПЕЧЕНИЮ</w:t>
      </w:r>
    </w:p>
    <w:p w:rsidR="0078473C" w:rsidRDefault="0078473C">
      <w:pPr>
        <w:pStyle w:val="ConsPlusTitle"/>
        <w:jc w:val="center"/>
      </w:pPr>
      <w:r>
        <w:t>СБАЛАНСИРОВАННОСТИ БЮДЖЕТОВ МУНИЦИПАЛЬНЫХ РАЙОНОВ</w:t>
      </w:r>
    </w:p>
    <w:p w:rsidR="0078473C" w:rsidRDefault="0078473C">
      <w:pPr>
        <w:pStyle w:val="ConsPlusTitle"/>
        <w:jc w:val="center"/>
      </w:pPr>
      <w:r>
        <w:t>(МУНИЦИПАЛЬНЫХ ОКРУГОВ, ГОРОДСКИХ ОКРУГОВ)</w:t>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0203"/>
        <w:gridCol w:w="113"/>
      </w:tblGrid>
      <w:tr w:rsidR="0078473C">
        <w:tc>
          <w:tcPr>
            <w:tcW w:w="60" w:type="dxa"/>
            <w:tcBorders>
              <w:top w:val="nil"/>
              <w:left w:val="nil"/>
              <w:bottom w:val="nil"/>
              <w:right w:val="nil"/>
            </w:tcBorders>
            <w:shd w:val="clear" w:color="auto" w:fill="CED3F1"/>
            <w:tcMar>
              <w:top w:w="0" w:type="dxa"/>
              <w:left w:w="0" w:type="dxa"/>
              <w:bottom w:w="0" w:type="dxa"/>
              <w:right w:w="0" w:type="dxa"/>
            </w:tcMar>
          </w:tcPr>
          <w:p w:rsidR="0078473C" w:rsidRDefault="007847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8473C" w:rsidRDefault="007847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8473C" w:rsidRDefault="0078473C">
            <w:pPr>
              <w:pStyle w:val="ConsPlusNormal"/>
              <w:jc w:val="center"/>
            </w:pPr>
            <w:r>
              <w:rPr>
                <w:color w:val="392C69"/>
              </w:rPr>
              <w:t>Список изменяющих документов</w:t>
            </w:r>
          </w:p>
          <w:p w:rsidR="0078473C" w:rsidRDefault="0078473C">
            <w:pPr>
              <w:pStyle w:val="ConsPlusNormal"/>
              <w:jc w:val="center"/>
            </w:pPr>
            <w:proofErr w:type="gramStart"/>
            <w:r>
              <w:rPr>
                <w:color w:val="392C69"/>
              </w:rPr>
              <w:t xml:space="preserve">(в ред. Постановлений Правительства Брянской области от 23.11.2020 </w:t>
            </w:r>
            <w:hyperlink r:id="rId5">
              <w:r>
                <w:rPr>
                  <w:color w:val="0000FF"/>
                </w:rPr>
                <w:t>N 548-п</w:t>
              </w:r>
            </w:hyperlink>
            <w:r>
              <w:rPr>
                <w:color w:val="392C69"/>
              </w:rPr>
              <w:t>,</w:t>
            </w:r>
            <w:proofErr w:type="gramEnd"/>
          </w:p>
          <w:p w:rsidR="0078473C" w:rsidRDefault="0078473C">
            <w:pPr>
              <w:pStyle w:val="ConsPlusNormal"/>
              <w:jc w:val="center"/>
            </w:pPr>
            <w:r>
              <w:rPr>
                <w:color w:val="392C69"/>
              </w:rPr>
              <w:t xml:space="preserve">от 08.11.2021 </w:t>
            </w:r>
            <w:hyperlink r:id="rId6">
              <w:r>
                <w:rPr>
                  <w:color w:val="0000FF"/>
                </w:rPr>
                <w:t>N 474-п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8473C" w:rsidRDefault="0078473C">
            <w:pPr>
              <w:pStyle w:val="ConsPlusNormal"/>
            </w:pPr>
          </w:p>
        </w:tc>
      </w:tr>
    </w:tbl>
    <w:p w:rsidR="0078473C" w:rsidRDefault="0078473C">
      <w:pPr>
        <w:pStyle w:val="ConsPlusNormal"/>
        <w:ind w:firstLine="540"/>
        <w:jc w:val="both"/>
      </w:pPr>
      <w:r>
        <w:t xml:space="preserve">1. Дотации на поддержку мер по обеспечению сбалансированности бюджетов муниципальных районов (муниципальных округов, городских округов) могут предусматриваться в составе областного бюджета в целях финансового обеспечения расходных обязательств муниципальных районов (муниципальных округов, городских округов) при недостатке собственных доходов местных </w:t>
      </w:r>
      <w:proofErr w:type="gramStart"/>
      <w:r>
        <w:t>бюджетов</w:t>
      </w:r>
      <w:proofErr w:type="gramEnd"/>
      <w:r>
        <w:t xml:space="preserve"> в рамках финансовой поддержки принимаемых органами местного самоуправления мер по соответствию принятых расходных обязательств муниципальными районами (муниципальными округами, городскими округами) источникам доходов местных бюджетов.</w:t>
      </w:r>
    </w:p>
    <w:p w:rsidR="0078473C" w:rsidRDefault="0078473C">
      <w:pPr>
        <w:pStyle w:val="ConsPlusNormal"/>
        <w:spacing w:before="200"/>
        <w:ind w:firstLine="540"/>
        <w:jc w:val="both"/>
      </w:pPr>
      <w:r>
        <w:t>2. Объем дотаций на поддержку мер по обеспечению сбалансированности бюджетов муниципальных районов (муниципальных округов, городских округов) определяется законом Брянской области об областном бюджете на соответствующий финансовый год и на плановый период исходя из ресурсных возможностей областного бюджета.</w:t>
      </w:r>
    </w:p>
    <w:p w:rsidR="0078473C" w:rsidRDefault="0078473C">
      <w:pPr>
        <w:pStyle w:val="ConsPlusNormal"/>
        <w:spacing w:before="200"/>
        <w:ind w:firstLine="540"/>
        <w:jc w:val="both"/>
      </w:pPr>
      <w:r>
        <w:t xml:space="preserve">3. </w:t>
      </w:r>
      <w:proofErr w:type="gramStart"/>
      <w:r>
        <w:t>Дотации на поддержку мер по обеспечению сбалансированности бюджетов муниципальных районов (муниципальных округов, городских округов) предоставляются на основе оценки объемов снижения (выпадающих) доходов, возникновения новых (дополнительных) социально значимых и первоочередных расходов, недостатка средств для финансирования социально значимых и первоочередных расходов, влияющих на сбалансированность (кассовые разрывы) местных бюджетов, за исключением расходов, полностью (или частично) финансируемых за счет целевых межбюджетных трансфертов из областного</w:t>
      </w:r>
      <w:proofErr w:type="gramEnd"/>
      <w:r>
        <w:t xml:space="preserve"> бюджета, ожидаемой оценки соотношения ресурсной базы, социально значимых и первоочередных расходных обязательств, а также на основании нормативных правовых актов Правительства Брянской области (далее - дотации).</w:t>
      </w:r>
    </w:p>
    <w:p w:rsidR="0078473C" w:rsidRDefault="0078473C">
      <w:pPr>
        <w:pStyle w:val="ConsPlusNormal"/>
        <w:spacing w:before="200"/>
        <w:ind w:firstLine="540"/>
        <w:jc w:val="both"/>
      </w:pPr>
      <w:r>
        <w:t>Размер дотаций бюджетам муниципальных районов (муниципальных округов, городских округов) определяется по формуле:</w:t>
      </w:r>
    </w:p>
    <w:p w:rsidR="0078473C" w:rsidRDefault="0078473C">
      <w:pPr>
        <w:pStyle w:val="ConsPlusNormal"/>
        <w:jc w:val="both"/>
      </w:pPr>
    </w:p>
    <w:p w:rsidR="0078473C" w:rsidRDefault="0078473C">
      <w:pPr>
        <w:pStyle w:val="ConsPlusNormal"/>
        <w:jc w:val="center"/>
      </w:pPr>
      <w:proofErr w:type="spellStart"/>
      <w:r>
        <w:t>Дсб</w:t>
      </w:r>
      <w:proofErr w:type="gramStart"/>
      <w:r>
        <w:t>i</w:t>
      </w:r>
      <w:proofErr w:type="spellEnd"/>
      <w:proofErr w:type="gramEnd"/>
      <w:r>
        <w:t xml:space="preserve"> = Дсб1i + Дсб2i, где:</w:t>
      </w:r>
    </w:p>
    <w:p w:rsidR="0078473C" w:rsidRDefault="0078473C">
      <w:pPr>
        <w:pStyle w:val="ConsPlusNormal"/>
        <w:jc w:val="both"/>
      </w:pPr>
    </w:p>
    <w:p w:rsidR="0078473C" w:rsidRDefault="0078473C">
      <w:pPr>
        <w:pStyle w:val="ConsPlusNormal"/>
        <w:ind w:firstLine="540"/>
        <w:jc w:val="both"/>
      </w:pPr>
      <w:proofErr w:type="spellStart"/>
      <w:r>
        <w:t>Дсб</w:t>
      </w:r>
      <w:proofErr w:type="gramStart"/>
      <w:r>
        <w:t>i</w:t>
      </w:r>
      <w:proofErr w:type="spellEnd"/>
      <w:proofErr w:type="gramEnd"/>
      <w:r>
        <w:t xml:space="preserve"> - объем дотации бюджету i-</w:t>
      </w:r>
      <w:proofErr w:type="spellStart"/>
      <w:r>
        <w:t>го</w:t>
      </w:r>
      <w:proofErr w:type="spellEnd"/>
      <w:r>
        <w:t xml:space="preserve"> муниципального района (муниципального округа, городского округа);</w:t>
      </w:r>
    </w:p>
    <w:p w:rsidR="0078473C" w:rsidRDefault="0078473C">
      <w:pPr>
        <w:pStyle w:val="ConsPlusNormal"/>
        <w:spacing w:before="200"/>
        <w:ind w:firstLine="540"/>
        <w:jc w:val="both"/>
      </w:pPr>
      <w:r>
        <w:t>Дсб1i - первая часть дотации бюджету i-</w:t>
      </w:r>
      <w:proofErr w:type="spellStart"/>
      <w:r>
        <w:t>го</w:t>
      </w:r>
      <w:proofErr w:type="spellEnd"/>
      <w:r>
        <w:t xml:space="preserve"> муниципального района (муниципального округа, городского округа);</w:t>
      </w:r>
    </w:p>
    <w:p w:rsidR="0078473C" w:rsidRDefault="0078473C">
      <w:pPr>
        <w:pStyle w:val="ConsPlusNormal"/>
        <w:spacing w:before="200"/>
        <w:ind w:firstLine="540"/>
        <w:jc w:val="both"/>
      </w:pPr>
      <w:r>
        <w:t>Дсб2i - вторая часть дотации бюджету i-</w:t>
      </w:r>
      <w:proofErr w:type="spellStart"/>
      <w:r>
        <w:t>го</w:t>
      </w:r>
      <w:proofErr w:type="spellEnd"/>
      <w:r>
        <w:t xml:space="preserve"> муниципального района (муниципального округа, городского округа), распределяемая на основании нормативных правовых актов Правительства Брянской области.</w:t>
      </w:r>
    </w:p>
    <w:p w:rsidR="0078473C" w:rsidRDefault="0078473C">
      <w:pPr>
        <w:pStyle w:val="ConsPlusNormal"/>
        <w:spacing w:before="200"/>
        <w:ind w:firstLine="540"/>
        <w:jc w:val="both"/>
      </w:pPr>
      <w:r>
        <w:t>4. Первая часть дотации бюджету i-</w:t>
      </w:r>
      <w:proofErr w:type="spellStart"/>
      <w:r>
        <w:t>го</w:t>
      </w:r>
      <w:proofErr w:type="spellEnd"/>
      <w:r>
        <w:t xml:space="preserve"> муниципального района (муниципального округа, городского округа) определяется по формуле:</w:t>
      </w:r>
    </w:p>
    <w:p w:rsidR="0078473C" w:rsidRDefault="0078473C">
      <w:pPr>
        <w:pStyle w:val="ConsPlusNormal"/>
        <w:jc w:val="both"/>
      </w:pPr>
    </w:p>
    <w:p w:rsidR="0078473C" w:rsidRDefault="0078473C">
      <w:pPr>
        <w:pStyle w:val="ConsPlusNormal"/>
        <w:jc w:val="center"/>
      </w:pPr>
      <w:r>
        <w:rPr>
          <w:noProof/>
          <w:position w:val="-34"/>
        </w:rPr>
        <w:drawing>
          <wp:inline distT="0" distB="0" distL="0" distR="0">
            <wp:extent cx="2600325" cy="5619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00325" cy="561975"/>
                    </a:xfrm>
                    <a:prstGeom prst="rect">
                      <a:avLst/>
                    </a:prstGeom>
                    <a:noFill/>
                    <a:ln>
                      <a:noFill/>
                    </a:ln>
                  </pic:spPr>
                </pic:pic>
              </a:graphicData>
            </a:graphic>
          </wp:inline>
        </w:drawing>
      </w:r>
    </w:p>
    <w:p w:rsidR="0078473C" w:rsidRDefault="0078473C">
      <w:pPr>
        <w:pStyle w:val="ConsPlusNormal"/>
        <w:jc w:val="both"/>
      </w:pPr>
    </w:p>
    <w:p w:rsidR="0078473C" w:rsidRDefault="0078473C">
      <w:pPr>
        <w:pStyle w:val="ConsPlusNormal"/>
        <w:ind w:firstLine="540"/>
        <w:jc w:val="both"/>
      </w:pPr>
      <w:r>
        <w:t>Дсб1i - первая часть дотации бюджету i-</w:t>
      </w:r>
      <w:proofErr w:type="spellStart"/>
      <w:r>
        <w:t>го</w:t>
      </w:r>
      <w:proofErr w:type="spellEnd"/>
      <w:r>
        <w:t xml:space="preserve"> муниципального района (муниципального округа, городского округа);</w:t>
      </w:r>
    </w:p>
    <w:p w:rsidR="0078473C" w:rsidRDefault="0078473C">
      <w:pPr>
        <w:pStyle w:val="ConsPlusNormal"/>
        <w:spacing w:before="200"/>
        <w:ind w:firstLine="540"/>
        <w:jc w:val="both"/>
      </w:pPr>
      <w:r>
        <w:t>Дсб</w:t>
      </w:r>
      <w:proofErr w:type="gramStart"/>
      <w:r>
        <w:t>1</w:t>
      </w:r>
      <w:proofErr w:type="gramEnd"/>
      <w:r>
        <w:t xml:space="preserve"> - общий объем первой части дотаций бюджетам муниципальных районов (муниципальных округов, городских округов);</w:t>
      </w:r>
    </w:p>
    <w:p w:rsidR="0078473C" w:rsidRDefault="0078473C">
      <w:pPr>
        <w:pStyle w:val="ConsPlusNormal"/>
        <w:spacing w:before="200"/>
        <w:ind w:firstLine="540"/>
        <w:jc w:val="both"/>
      </w:pPr>
      <w:r>
        <w:rPr>
          <w:noProof/>
          <w:position w:val="-5"/>
        </w:rPr>
        <w:drawing>
          <wp:inline distT="0" distB="0" distL="0" distR="0">
            <wp:extent cx="2952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t xml:space="preserve"> - оценка объема снижения (выпадающих) доходов бюджета i-</w:t>
      </w:r>
      <w:proofErr w:type="spellStart"/>
      <w:r>
        <w:t>го</w:t>
      </w:r>
      <w:proofErr w:type="spellEnd"/>
      <w:r>
        <w:t xml:space="preserve"> муниципального района (муниципального округа, городского округа) (налоговых, неналоговых доходов, дотации на выравнивание бюджетной обеспеченности муниципальных районов (муниципальных округов, городских округов) и других факторов, влияющих на формирование ресурсной базы);</w:t>
      </w:r>
    </w:p>
    <w:p w:rsidR="0078473C" w:rsidRDefault="0078473C">
      <w:pPr>
        <w:pStyle w:val="ConsPlusNormal"/>
        <w:spacing w:before="200"/>
        <w:ind w:firstLine="540"/>
        <w:jc w:val="both"/>
      </w:pPr>
      <w:r>
        <w:rPr>
          <w:noProof/>
          <w:position w:val="-2"/>
        </w:rPr>
        <w:drawing>
          <wp:inline distT="0" distB="0" distL="0" distR="0">
            <wp:extent cx="266700" cy="1619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 cy="161925"/>
                    </a:xfrm>
                    <a:prstGeom prst="rect">
                      <a:avLst/>
                    </a:prstGeom>
                    <a:noFill/>
                    <a:ln>
                      <a:noFill/>
                    </a:ln>
                  </pic:spPr>
                </pic:pic>
              </a:graphicData>
            </a:graphic>
          </wp:inline>
        </w:drawing>
      </w:r>
      <w:r>
        <w:t xml:space="preserve"> - оценка объема возникновения новых (дополнительных) социально значимых и первоочередных расходов, недостатка сре</w:t>
      </w:r>
      <w:proofErr w:type="gramStart"/>
      <w:r>
        <w:t>дств дл</w:t>
      </w:r>
      <w:proofErr w:type="gramEnd"/>
      <w:r>
        <w:t xml:space="preserve">я финансирования социально значимых и первоочередных расходов бюджета </w:t>
      </w:r>
      <w:r>
        <w:lastRenderedPageBreak/>
        <w:t>i-</w:t>
      </w:r>
      <w:proofErr w:type="spellStart"/>
      <w:r>
        <w:t>го</w:t>
      </w:r>
      <w:proofErr w:type="spellEnd"/>
      <w:r>
        <w:t xml:space="preserve"> муниципального района (муниципального округа, городского округа), за исключением расходов, полностью (или частично) финансируемых за счет целевых межбюджетных трансфертов из областного бюджета.</w:t>
      </w:r>
    </w:p>
    <w:p w:rsidR="0078473C" w:rsidRDefault="0078473C">
      <w:pPr>
        <w:pStyle w:val="ConsPlusNormal"/>
        <w:spacing w:before="200"/>
        <w:ind w:firstLine="540"/>
        <w:jc w:val="both"/>
      </w:pPr>
      <w:r>
        <w:t>Социально значимые расходы бюджетов муниципальных районов (муниципальных округов, городских округов) включают расходы на оплату труда, начисления на выплаты по оплате труда, уплату налогов и сборов, оплату коммунальных услуг, социальное обеспечение, питание, другие социально значимые статьи расходов.</w:t>
      </w:r>
    </w:p>
    <w:p w:rsidR="0078473C" w:rsidRDefault="0078473C">
      <w:pPr>
        <w:pStyle w:val="ConsPlusNormal"/>
        <w:spacing w:before="200"/>
        <w:ind w:firstLine="540"/>
        <w:jc w:val="both"/>
      </w:pPr>
      <w:r>
        <w:t>Первоочередные расходы бюджетов муниципальных районов (муниципальных округов, городских округов) включают расходы на обслуживание муниципального долга, прочие выплаты по заработной плате, услуги связи, транспортные услуги, работы (услуги) по содержанию имущества, другие первоочередные статьи расходов;</w:t>
      </w:r>
      <w:r w:rsidR="00595226">
        <w:t xml:space="preserve"> </w:t>
      </w:r>
      <w:bookmarkStart w:id="1" w:name="_GoBack"/>
      <w:bookmarkEnd w:id="1"/>
    </w:p>
    <w:p w:rsidR="0078473C" w:rsidRDefault="0078473C">
      <w:pPr>
        <w:pStyle w:val="ConsPlusNormal"/>
        <w:spacing w:before="200"/>
        <w:ind w:firstLine="540"/>
        <w:jc w:val="both"/>
      </w:pPr>
      <w:r>
        <w:rPr>
          <w:noProof/>
          <w:position w:val="-13"/>
        </w:rPr>
        <w:drawing>
          <wp:inline distT="0" distB="0" distL="0" distR="0">
            <wp:extent cx="600075" cy="29527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0075" cy="295275"/>
                    </a:xfrm>
                    <a:prstGeom prst="rect">
                      <a:avLst/>
                    </a:prstGeom>
                    <a:noFill/>
                    <a:ln>
                      <a:noFill/>
                    </a:ln>
                  </pic:spPr>
                </pic:pic>
              </a:graphicData>
            </a:graphic>
          </wp:inline>
        </w:drawing>
      </w:r>
      <w:r>
        <w:t xml:space="preserve"> - суммарная оценка объема снижения (выпадающих) доходов бюджетов всех муниципальных районов (муниципальных округов, городских округов) (налоговых, неналоговых доходов, дотаций на выравнивание бюджетной обеспеченности муниципальных районов (муниципальных округов, городских округов) и других факторов, влияющих на формирование ресурсной базы);</w:t>
      </w:r>
    </w:p>
    <w:p w:rsidR="0078473C" w:rsidRDefault="0078473C">
      <w:pPr>
        <w:pStyle w:val="ConsPlusNormal"/>
        <w:spacing w:before="200"/>
        <w:ind w:firstLine="540"/>
        <w:jc w:val="both"/>
      </w:pPr>
      <w:r>
        <w:rPr>
          <w:noProof/>
          <w:position w:val="-13"/>
        </w:rPr>
        <w:drawing>
          <wp:inline distT="0" distB="0" distL="0" distR="0">
            <wp:extent cx="581025" cy="29527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025" cy="295275"/>
                    </a:xfrm>
                    <a:prstGeom prst="rect">
                      <a:avLst/>
                    </a:prstGeom>
                    <a:noFill/>
                    <a:ln>
                      <a:noFill/>
                    </a:ln>
                  </pic:spPr>
                </pic:pic>
              </a:graphicData>
            </a:graphic>
          </wp:inline>
        </w:drawing>
      </w:r>
      <w:r>
        <w:t xml:space="preserve"> - суммарная оценка объема возникновения новых (дополнительных) социально значимых и первоочередных расходов, недостатка сре</w:t>
      </w:r>
      <w:proofErr w:type="gramStart"/>
      <w:r>
        <w:t>дств дл</w:t>
      </w:r>
      <w:proofErr w:type="gramEnd"/>
      <w:r>
        <w:t>я финансирования социально значимых и первоочередных расходов бюджетов всех муниципальных районов (муниципальных округов, городских округов), за исключением расходов, полностью (или частично) финансируемых за счет целевых межбюджетных трансфертов из областного бюджета;</w:t>
      </w:r>
    </w:p>
    <w:p w:rsidR="0078473C" w:rsidRDefault="0078473C">
      <w:pPr>
        <w:pStyle w:val="ConsPlusNormal"/>
        <w:spacing w:before="200"/>
        <w:ind w:firstLine="540"/>
        <w:jc w:val="both"/>
      </w:pPr>
      <w:r>
        <w:t>n - число муниципальных районов (муниципальных округов, городских округов).</w:t>
      </w:r>
    </w:p>
    <w:p w:rsidR="0078473C" w:rsidRDefault="0078473C">
      <w:pPr>
        <w:pStyle w:val="ConsPlusNormal"/>
        <w:spacing w:before="200"/>
        <w:ind w:firstLine="540"/>
        <w:jc w:val="both"/>
      </w:pPr>
      <w:proofErr w:type="gramStart"/>
      <w:r>
        <w:t>Перечень факторов (одного или нескольких) при оценке объемов снижения (выпадающих) доходов (ресурсов), возникновения новых (дополнительных) социально значимых и первоочередных расходов, недостатка средств для финансирования социально значимых и первоочередных расходов, влияющих на сбалансированность (кассовые разрывы) местных бюджетов, выявляется при разработке и формировании расчета распределения первой части дотации на поддержку мер по обеспечению сбалансированности бюджетов муниципальных районов (муниципальных округов, городских округов).</w:t>
      </w:r>
      <w:proofErr w:type="gramEnd"/>
    </w:p>
    <w:p w:rsidR="0078473C" w:rsidRDefault="0078473C">
      <w:pPr>
        <w:pStyle w:val="ConsPlusNormal"/>
        <w:spacing w:before="200"/>
        <w:ind w:firstLine="540"/>
        <w:jc w:val="both"/>
      </w:pPr>
      <w:r>
        <w:t>При расчете объема расходов бюджетов муниципальных районов (муниципальных округов, городских округов) не учитываются объемы просроченной кредиторской задолженности органов местного самоуправления, муниципальных казенных, бюджетных и автономных учреждений.</w:t>
      </w:r>
    </w:p>
    <w:p w:rsidR="0078473C" w:rsidRDefault="0078473C">
      <w:pPr>
        <w:pStyle w:val="ConsPlusNormal"/>
        <w:spacing w:before="200"/>
        <w:ind w:firstLine="540"/>
        <w:jc w:val="both"/>
      </w:pPr>
      <w:r>
        <w:t>Распределение первой части дотации утверждается законом Брянской области об областном бюджете на соответствующий финансовый год и на плановый период.</w:t>
      </w:r>
    </w:p>
    <w:p w:rsidR="0078473C" w:rsidRDefault="0078473C">
      <w:pPr>
        <w:pStyle w:val="ConsPlusNormal"/>
        <w:spacing w:before="200"/>
        <w:ind w:firstLine="540"/>
        <w:jc w:val="both"/>
      </w:pPr>
      <w:r>
        <w:t>5. Объем второй части дотации (нераспределенный резерв) на поддержку мер по обеспечению сбалансированности бюджетов муниципальных районов (муниципальных округов, городских округов) бюджету i-</w:t>
      </w:r>
      <w:proofErr w:type="spellStart"/>
      <w:r>
        <w:t>го</w:t>
      </w:r>
      <w:proofErr w:type="spellEnd"/>
      <w:r>
        <w:t xml:space="preserve"> муниципального района (муниципального округа, городского округа) распределяется на основании нормативных правовых актов Правительства Брянской области в течение года с учетом результатов исполнения бюджетов муниципальных районов (муниципальных округов, городских округов).</w:t>
      </w:r>
    </w:p>
    <w:p w:rsidR="0078473C" w:rsidRDefault="0078473C">
      <w:pPr>
        <w:pStyle w:val="ConsPlusNormal"/>
        <w:jc w:val="both"/>
      </w:pPr>
      <w:r>
        <w:t xml:space="preserve">(в ред. </w:t>
      </w:r>
      <w:hyperlink r:id="rId12">
        <w:r>
          <w:rPr>
            <w:color w:val="0000FF"/>
          </w:rPr>
          <w:t>Постановления</w:t>
        </w:r>
      </w:hyperlink>
      <w:r>
        <w:t xml:space="preserve"> Правительства Брянской области от 08.11.2021 N 474-п)</w:t>
      </w:r>
    </w:p>
    <w:p w:rsidR="0078473C" w:rsidRDefault="0078473C">
      <w:pPr>
        <w:pStyle w:val="ConsPlusNormal"/>
        <w:spacing w:before="200"/>
        <w:ind w:firstLine="540"/>
        <w:jc w:val="both"/>
      </w:pPr>
      <w:r>
        <w:t>Предоставление дотаций на основании нормативных правовых актов Правительства Брянской области осуществляется по результатам рассмотрения мотивированного обращения главы (администрации) муниципального образования при возникновении в течение текущего финансового года следующих обстоятельств:</w:t>
      </w:r>
    </w:p>
    <w:p w:rsidR="0078473C" w:rsidRDefault="0078473C">
      <w:pPr>
        <w:pStyle w:val="ConsPlusNormal"/>
        <w:spacing w:before="200"/>
        <w:ind w:firstLine="540"/>
        <w:jc w:val="both"/>
      </w:pPr>
      <w:r>
        <w:t>уменьшения поступления налоговых и неналоговых доходов бюджетов муниципальных районов (муниципальных округов, городских округов) при наличии объективных факторов, подкрепленных финансово-экономическими обоснованиями;</w:t>
      </w:r>
    </w:p>
    <w:p w:rsidR="0078473C" w:rsidRDefault="0078473C">
      <w:pPr>
        <w:pStyle w:val="ConsPlusNormal"/>
        <w:spacing w:before="200"/>
        <w:ind w:firstLine="540"/>
        <w:jc w:val="both"/>
      </w:pPr>
      <w:r>
        <w:t>возникновения дополнительных расходов местных бюджетов, обусловленных влиянием объективных факторов на объемы расходных обязательств муниципальных образований;</w:t>
      </w:r>
    </w:p>
    <w:p w:rsidR="0078473C" w:rsidRDefault="0078473C">
      <w:pPr>
        <w:pStyle w:val="ConsPlusNormal"/>
        <w:spacing w:before="200"/>
        <w:ind w:firstLine="540"/>
        <w:jc w:val="both"/>
      </w:pPr>
      <w:r>
        <w:t>необходимости решения актуальных вопросов местного значения.</w:t>
      </w:r>
    </w:p>
    <w:p w:rsidR="0078473C" w:rsidRPr="00D92C68" w:rsidRDefault="0078473C" w:rsidP="00D92C68">
      <w:pPr>
        <w:pStyle w:val="ConsPlusNormal"/>
        <w:spacing w:before="200"/>
        <w:ind w:firstLine="540"/>
        <w:jc w:val="both"/>
      </w:pPr>
      <w:r>
        <w:t>6. Перечисление дотаций на поддержку мер по обеспечению сбалансированности бюджетов муниципальных районов (муниципальных округов, городских округов) производится в соответствии со сводной бюджетной росписью областного бюджета и кассовым планом выплат. В пределах годовых назначений бюджетам муниципальных районов (муниципальных округов, городских округов) могут предоставляться авансовые дотации на поддержку мер по обеспечению сбалансированности бюджетов муниципальных районов (муниципальных округов, городских округов).</w:t>
      </w:r>
    </w:p>
    <w:sectPr w:rsidR="0078473C" w:rsidRPr="00D92C68" w:rsidSect="00D92C68">
      <w:pgSz w:w="11906" w:h="16838"/>
      <w:pgMar w:top="568" w:right="566"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73C"/>
    <w:rsid w:val="00595226"/>
    <w:rsid w:val="0078473C"/>
    <w:rsid w:val="00AF5D77"/>
    <w:rsid w:val="00D92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473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78473C"/>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78473C"/>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7847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47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473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78473C"/>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78473C"/>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7847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47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consultantplus://offline/ref=8BB9600452F09565CA41A5CD266C47389A037681740C48A9EF5E7A20B4DD44560127EC999D5CC72DB6C729067C18B201B810A51C2FA8863BC93C6842iA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BB9600452F09565CA41A5CD266C47389A037681740C48A9EF5E7A20B4DD44560127EC999D5CC72DB6C729067C18B201B810A51C2FA8863BC93C6842iAG" TargetMode="External"/><Relationship Id="rId11" Type="http://schemas.openxmlformats.org/officeDocument/2006/relationships/image" Target="media/image5.wmf"/><Relationship Id="rId5" Type="http://schemas.openxmlformats.org/officeDocument/2006/relationships/hyperlink" Target="consultantplus://offline/ref=8BB9600452F09565CA41A5CD266C47389A03768174014FABE85E7A20B4DD44560127EC999D5CC72DB6C7290B7C18B201B810A51C2FA8863BC93C6842iAG" TargetMode="Externa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1249</Words>
  <Characters>7122</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Утверждена</vt:lpstr>
    </vt:vector>
  </TitlesOfParts>
  <Company/>
  <LinksUpToDate>false</LinksUpToDate>
  <CharactersWithSpaces>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Кураленко</dc:creator>
  <cp:lastModifiedBy>Кураленко</cp:lastModifiedBy>
  <cp:revision>3</cp:revision>
  <cp:lastPrinted>2023-10-25T06:46:00Z</cp:lastPrinted>
  <dcterms:created xsi:type="dcterms:W3CDTF">2022-10-24T06:34:00Z</dcterms:created>
  <dcterms:modified xsi:type="dcterms:W3CDTF">2024-10-24T07:05:00Z</dcterms:modified>
</cp:coreProperties>
</file>